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wmf" ContentType="image/x-wmf"/>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Republic of the Philippines</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Department of Education</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REGION IV-A</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QUEZON</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SAN FRANCISCO</w:t>
      </w:r>
    </w:p>
    <w:p>
      <w:pPr>
        <w:pBdr>
          <w:bottom w:val="single" w:sz="12" w:space="1" w:color="000000"/>
        </w:pBd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PAGSANGAHAN NATIONAL HIGH SCHOOL</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DAILY LESSON LOG</w:t>
      </w:r>
    </w:p>
    <w:p>
      <w:pPr>
        <w:widowControl w:val="false"/>
        <w:pBdr/>
        <w:spacing w:lineRule="auto" w:line="240"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S.Y. 2026-2027</w:t>
      </w:r>
    </w:p>
    <w:p>
      <w:pPr>
        <w:widowControl w:val="false"/>
        <w:pBdr/>
        <w:spacing w:lineRule="auto" w:line="240" w:after="0"/>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drawing>
          <wp:anchor behindDoc="1" distT="0" distB="0" distL="0" distR="0" simplePos="0" locked="0" layoutInCell="0" allowOverlap="1" relativeHeight="2">
            <wp:simplePos x="0" y="0"/>
            <wp:positionH relativeFrom="column">
              <wp:posOffset>50800</wp:posOffset>
            </wp:positionH>
            <wp:positionV relativeFrom="paragraph">
              <wp:posOffset>175260</wp:posOffset>
            </wp:positionV>
            <wp:extent cx="1153795" cy="60198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153795" cy="601980"/>
                    </a:xfrm>
                    <a:prstGeom prst="rect">
                      <a:avLst/>
                    </a:prstGeom>
                  </pic:spPr>
                </pic:pic>
              </a:graphicData>
            </a:graphic>
          </wp:anchor>
        </w:drawing>
      </w:r>
    </w:p>
    <w:p>
      <w:pPr>
        <w:spacing w:after="750"/>
        <w:rPr>
          <w:rFonts w:ascii="Century Gothic" w:hAnsi="Century Gothic" w:eastAsia="Bookman Old Style" w:cs="Bookman Old Style"/>
          <w:color w:val="000000"/>
          <w:sz w:val="22"/>
          <w:szCs w:val="22"/>
        </w:rPr>
      </w:pPr>
      <w:r>
        <w:rPr>
          <w:rFonts w:eastAsia="Bookman Old Style" w:cs="Bookman Old Style" w:ascii="Century Gothic" w:hAnsi="Century Gothic"/>
          <w:color w:val="000000"/>
          <w:sz w:val="22"/>
          <w:szCs w:val="22"/>
        </w:rPr>
        <w:drawing>
          <wp:anchor behindDoc="1" distT="0" distB="0" distL="0" distR="0" simplePos="0" locked="0" layoutInCell="0" allowOverlap="1" relativeHeight="6">
            <wp:simplePos x="0" y="0"/>
            <wp:positionH relativeFrom="column">
              <wp:posOffset>1220470</wp:posOffset>
            </wp:positionH>
            <wp:positionV relativeFrom="paragraph">
              <wp:posOffset>66675</wp:posOffset>
            </wp:positionV>
            <wp:extent cx="533400" cy="533400"/>
            <wp:effectExtent l="0" t="0" r="0" b="0"/>
            <wp:wrapNone/>
            <wp:docPr id="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pic:cNvPicPr>
                      <a:picLocks noChangeAspect="1" noChangeArrowheads="1"/>
                    </pic:cNvPicPr>
                  </pic:nvPicPr>
                  <pic:blipFill>
                    <a:blip r:embed="rId3"/>
                    <a:stretch>
                      <a:fillRect/>
                    </a:stretch>
                  </pic:blipFill>
                  <pic:spPr bwMode="auto">
                    <a:xfrm>
                      <a:off x="0" y="0"/>
                      <a:ext cx="533400" cy="533400"/>
                    </a:xfrm>
                    <a:prstGeom prst="rect">
                      <a:avLst/>
                    </a:prstGeom>
                  </pic:spPr>
                </pic:pic>
              </a:graphicData>
            </a:graphic>
          </wp:anchor>
        </w:drawing>
        <mc:AlternateContent>
          <mc:Choice Requires="wps">
            <w:drawing>
              <wp:anchor behindDoc="1" distT="0" distB="0" distL="0" distR="0" simplePos="0" locked="0" layoutInCell="0" allowOverlap="1" relativeHeight="10">
                <wp:simplePos x="0" y="0"/>
                <wp:positionH relativeFrom="column">
                  <wp:posOffset>2159000</wp:posOffset>
                </wp:positionH>
                <wp:positionV relativeFrom="paragraph">
                  <wp:posOffset>156845</wp:posOffset>
                </wp:positionV>
                <wp:extent cx="641350" cy="444500"/>
                <wp:effectExtent l="0" t="0" r="0" b="0"/>
                <wp:wrapNone/>
                <wp:docPr id="3" name="Text Box 2"/>
                <a:graphic xmlns:a="http://schemas.openxmlformats.org/drawingml/2006/main">
                  <a:graphicData uri="http://schemas.microsoft.com/office/word/2010/wordprocessingShape">
                    <wps:wsp>
                      <wps:cNvSpPr/>
                      <wps:spPr>
                        <a:xfrm>
                          <a:off x="0" y="0"/>
                          <a:ext cx="641520" cy="444600"/>
                        </a:xfrm>
                        <a:prstGeom prst="rect">
                          <a:avLst/>
                        </a:prstGeom>
                        <a:noFill/>
                        <a:ln w="9360">
                          <a:noFill/>
                        </a:ln>
                      </wps:spPr>
                      <wps:style>
                        <a:lnRef idx="0"/>
                        <a:fillRef idx="0"/>
                        <a:effectRef idx="0"/>
                        <a:fontRef idx="minor"/>
                      </wps:style>
                      <wps:txbx>
                        <w:txbxContent>
                          <w:p>
                            <w:pPr>
                              <w:pStyle w:val="FrameContents"/>
                              <w:jc w:val="center"/>
                              <w:rPr>
                                <w:sz w:val="16"/>
                                <w:szCs w:val="16"/>
                              </w:rPr>
                            </w:pPr>
                            <w:r>
                              <w:rPr>
                                <w:sz w:val="16"/>
                                <w:szCs w:val="16"/>
                              </w:rPr>
                              <w:t>School Logo</w:t>
                            </w:r>
                          </w:p>
                        </w:txbxContent>
                      </wps:txbx>
                      <wps:bodyPr anchor="t">
                        <a:noAutofit/>
                      </wps:bodyPr>
                    </wps:wsp>
                  </a:graphicData>
                </a:graphic>
              </wp:anchor>
            </w:drawing>
          </mc:Choice>
          <mc:Fallback>
            <w:pict>
              <v:rect id="shape_0" ID="Text Box 2" path="m0,0l-2147483645,0l-2147483645,-2147483646l0,-2147483646xe" stroked="f" o:allowincell="f" style="position:absolute;margin-left:170pt;margin-top:12.35pt;width:50.45pt;height:34.95pt;mso-wrap-style:square;v-text-anchor:top">
                <v:fill o:detectmouseclick="t" on="false"/>
                <v:stroke color="#3465a4" weight="9360" joinstyle="miter" endcap="flat"/>
                <v:textbox>
                  <w:txbxContent>
                    <w:p>
                      <w:pPr>
                        <w:pStyle w:val="FrameContents"/>
                        <w:jc w:val="center"/>
                        <w:rPr>
                          <w:sz w:val="16"/>
                          <w:szCs w:val="16"/>
                        </w:rPr>
                      </w:pPr>
                      <w:r>
                        <w:rPr>
                          <w:sz w:val="16"/>
                          <w:szCs w:val="16"/>
                        </w:rPr>
                        <w:t>School Logo</w:t>
                      </w:r>
                    </w:p>
                  </w:txbxContent>
                </v:textbox>
                <w10:wrap type="none"/>
              </v:rect>
            </w:pict>
          </mc:Fallback>
        </mc:AlternateContent>
        <mc:AlternateContent>
          <mc:Choice Requires="wps">
            <w:drawing>
              <wp:anchor behindDoc="1" distT="0" distB="12700" distL="0" distR="19050" simplePos="0" locked="0" layoutInCell="0" allowOverlap="1" relativeHeight="12">
                <wp:simplePos x="0" y="0"/>
                <wp:positionH relativeFrom="column">
                  <wp:posOffset>2266950</wp:posOffset>
                </wp:positionH>
                <wp:positionV relativeFrom="paragraph">
                  <wp:posOffset>86995</wp:posOffset>
                </wp:positionV>
                <wp:extent cx="457200" cy="463550"/>
                <wp:effectExtent l="0" t="635" r="1270" b="635"/>
                <wp:wrapNone/>
                <wp:docPr id="5" name="Oval 1"/>
                <a:graphic xmlns:a="http://schemas.openxmlformats.org/drawingml/2006/main">
                  <a:graphicData uri="http://schemas.microsoft.com/office/word/2010/wordprocessingShape">
                    <wps:wsp>
                      <wps:cNvSpPr/>
                      <wps:spPr>
                        <a:xfrm>
                          <a:off x="0" y="0"/>
                          <a:ext cx="457200" cy="463680"/>
                        </a:xfrm>
                        <a:prstGeom prst="ellipse">
                          <a:avLst/>
                        </a:prstGeom>
                        <a:solidFill>
                          <a:schemeClr val="lt1"/>
                        </a:solidFill>
                        <a:ln w="12600">
                          <a:noFill/>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white" stroked="f" o:allowincell="f" style="position:absolute;margin-left:178.5pt;margin-top:6.85pt;width:35.95pt;height:36.45pt;mso-wrap-style:none;v-text-anchor:middle">
                <v:fill o:detectmouseclick="t" type="solid" color2="black"/>
                <v:stroke color="#3465a4" weight="12600" joinstyle="miter" endcap="flat"/>
                <w10:wrap type="none"/>
              </v:oval>
            </w:pict>
          </mc:Fallback>
        </mc:AlternateContent>
        <mc:AlternateContent>
          <mc:Choice Requires="wps">
            <w:drawing>
              <wp:anchor behindDoc="1" distT="0" distB="12700" distL="0" distR="19050" simplePos="0" locked="0" layoutInCell="0" allowOverlap="1" relativeHeight="16">
                <wp:simplePos x="0" y="0"/>
                <wp:positionH relativeFrom="column">
                  <wp:posOffset>1752600</wp:posOffset>
                </wp:positionH>
                <wp:positionV relativeFrom="paragraph">
                  <wp:posOffset>86995</wp:posOffset>
                </wp:positionV>
                <wp:extent cx="457200" cy="463550"/>
                <wp:effectExtent l="0" t="635" r="635" b="635"/>
                <wp:wrapNone/>
                <wp:docPr id="6" name="Oval 1"/>
                <a:graphic xmlns:a="http://schemas.openxmlformats.org/drawingml/2006/main">
                  <a:graphicData uri="http://schemas.microsoft.com/office/word/2010/wordprocessingShape">
                    <wps:wsp>
                      <wps:cNvSpPr/>
                      <wps:spPr>
                        <a:xfrm>
                          <a:off x="0" y="0"/>
                          <a:ext cx="457200" cy="463680"/>
                        </a:xfrm>
                        <a:prstGeom prst="ellipse">
                          <a:avLst/>
                        </a:prstGeom>
                        <a:solidFill>
                          <a:schemeClr val="lt1"/>
                        </a:solidFill>
                        <a:ln w="12600">
                          <a:noFill/>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white" stroked="f" o:allowincell="f" style="position:absolute;margin-left:138pt;margin-top:6.85pt;width:35.95pt;height:36.45pt;mso-wrap-style:none;v-text-anchor:middle">
                <v:fill o:detectmouseclick="t" type="solid" color2="black"/>
                <v:stroke color="#3465a4" weight="12600" joinstyle="miter" endcap="flat"/>
                <w10:wrap type="none"/>
              </v:oval>
            </w:pict>
          </mc:Fallback>
        </mc:AlternateContent>
        <mc:AlternateContent>
          <mc:Choice Requires="wps">
            <w:drawing>
              <wp:anchor behindDoc="1" distT="0" distB="0" distL="0" distR="0" simplePos="0" locked="0" layoutInCell="0" allowOverlap="1" relativeHeight="17">
                <wp:simplePos x="0" y="0"/>
                <wp:positionH relativeFrom="column">
                  <wp:posOffset>1695450</wp:posOffset>
                </wp:positionH>
                <wp:positionV relativeFrom="paragraph">
                  <wp:posOffset>118745</wp:posOffset>
                </wp:positionV>
                <wp:extent cx="571500" cy="444500"/>
                <wp:effectExtent l="0" t="0" r="0" b="0"/>
                <wp:wrapNone/>
                <wp:docPr id="7" name="Text Box 2"/>
                <a:graphic xmlns:a="http://schemas.openxmlformats.org/drawingml/2006/main">
                  <a:graphicData uri="http://schemas.microsoft.com/office/word/2010/wordprocessingShape">
                    <wps:wsp>
                      <wps:cNvSpPr/>
                      <wps:spPr>
                        <a:xfrm>
                          <a:off x="0" y="0"/>
                          <a:ext cx="571680" cy="444600"/>
                        </a:xfrm>
                        <a:prstGeom prst="rect">
                          <a:avLst/>
                        </a:prstGeom>
                        <a:noFill/>
                        <a:ln w="9360">
                          <a:noFill/>
                        </a:ln>
                      </wps:spPr>
                      <wps:style>
                        <a:lnRef idx="0"/>
                        <a:fillRef idx="0"/>
                        <a:effectRef idx="0"/>
                        <a:fontRef idx="minor"/>
                      </wps:style>
                      <wps:txbx>
                        <w:txbxContent>
                          <w:p>
                            <w:pPr>
                              <w:pStyle w:val="FrameContents"/>
                              <w:jc w:val="center"/>
                              <w:rPr>
                                <w:sz w:val="16"/>
                                <w:szCs w:val="16"/>
                              </w:rPr>
                            </w:pPr>
                            <w:r>
                              <w:rPr>
                                <w:sz w:val="16"/>
                                <w:szCs w:val="16"/>
                              </w:rPr>
                              <w:t>Division Logo</w:t>
                            </w:r>
                          </w:p>
                        </w:txbxContent>
                      </wps:txbx>
                      <wps:bodyPr anchor="t">
                        <a:noAutofit/>
                      </wps:bodyPr>
                    </wps:wsp>
                  </a:graphicData>
                </a:graphic>
              </wp:anchor>
            </w:drawing>
          </mc:Choice>
          <mc:Fallback>
            <w:pict>
              <v:rect id="shape_0" ID="Text Box 2" path="m0,0l-2147483645,0l-2147483645,-2147483646l0,-2147483646xe" stroked="f" o:allowincell="f" style="position:absolute;margin-left:133.5pt;margin-top:9.35pt;width:44.95pt;height:34.95pt;mso-wrap-style:square;v-text-anchor:top">
                <v:fill o:detectmouseclick="t" on="false"/>
                <v:stroke color="#3465a4" weight="9360" joinstyle="miter" endcap="flat"/>
                <v:textbox>
                  <w:txbxContent>
                    <w:p>
                      <w:pPr>
                        <w:pStyle w:val="FrameContents"/>
                        <w:jc w:val="center"/>
                        <w:rPr>
                          <w:sz w:val="16"/>
                          <w:szCs w:val="16"/>
                        </w:rPr>
                      </w:pPr>
                      <w:r>
                        <w:rPr>
                          <w:sz w:val="16"/>
                          <w:szCs w:val="16"/>
                        </w:rPr>
                        <w:t>Division Logo</w:t>
                      </w:r>
                    </w:p>
                  </w:txbxContent>
                </v:textbox>
                <w10:wrap type="none"/>
              </v:rect>
            </w:pict>
          </mc:Fallback>
        </mc:AlternateContent>
      </w:r>
    </w:p>
    <w:p>
      <w:pPr>
        <w:rPr>
          <w:rFonts w:ascii="Century Gothic" w:hAnsi="Century Gothic"/>
        </w:rPr>
      </w:pPr>
      <w:r>
        <w:rPr>
          <w:rFonts w:ascii="Century Gothic" w:hAnsi="Century Gothic"/>
        </w:rPr>
      </w:r>
    </w:p>
    <w:tbl>
      <w:tblPr>
        <w:tblW w:w="16859" w:type="dxa"/>
        <w:tblInd w:w="5" w:type="dxa"/>
        <w:tblLayout w:type="fixed"/>
        <w:tblCellMar>
          <w:top w:w="15" w:type="dxa"/>
          <w:left w:w="108" w:type="dxa"/>
          <w:bottom w:w="0" w:type="dxa"/>
          <w:right w:w="108" w:type="dxa"/>
        </w:tblCellMar>
      </w:tblPr>
      <w:tblGrid>
        <w:gridCol w:w="4007"/>
        <w:gridCol w:w="12852"/>
      </w:tblGrid>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Name of Lesson</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Analyzing and Composing Argumentative Texts: Clarity of Meaning and Purpose</w:t>
            </w:r>
            <w:r>
              <w:rPr/>
              <w:br/>
              <w:br/>
            </w:r>
            <w:r>
              <w:rPr>
                <w:rFonts w:eastAsia="Times New Roman" w:cs="Calibri" w:ascii="Century Gothic" w:hAnsi="Century Gothic"/>
                <w:color w:val="000000"/>
                <w:kern w:val="0"/>
                <w:sz w:val="22"/>
                <w:szCs w:val="22"/>
              </w:rPr>
              <w:t>Content Standard: The learners demonstrate their multiliteracies and communicative competence in evaluating informational texts (argumentative texts) and transactional texts (letter of complaint) for clarity of meaning, purpose, and target audience as a foundation for publishing original informational and transactional texts.</w:t>
            </w:r>
            <w:r>
              <w:rPr/>
              <w:br/>
              <w:br/>
            </w:r>
            <w:r>
              <w:rPr>
                <w:rFonts w:eastAsia="Times New Roman" w:cs="Calibri" w:ascii="Century Gothic" w:hAnsi="Century Gothic"/>
                <w:color w:val="000000"/>
                <w:kern w:val="0"/>
                <w:sz w:val="22"/>
                <w:szCs w:val="22"/>
              </w:rPr>
              <w:t>Performance Standard: The learners analyze the style, form, and features of informational texts (argumentative texts) and transactional texts (letter of complaint); evaluate informational and transactional texts for clarity of meaning, purpose, and target audience; and compose and publish original multimodal informational texts (argumentative texts) and transactional texts (letter of complaint) using appropriate forms and structures that represent their meaning, purpose, and target audience.</w:t>
            </w:r>
            <w:r>
              <w:rPr/>
              <w:br/>
              <w:br/>
            </w:r>
            <w:r>
              <w:rPr>
                <w:rFonts w:eastAsia="Times New Roman" w:cs="Calibri" w:ascii="Century Gothic" w:hAnsi="Century Gothic"/>
                <w:color w:val="000000"/>
                <w:kern w:val="0"/>
                <w:sz w:val="22"/>
                <w:szCs w:val="22"/>
              </w:rPr>
              <w:t>Lesson Overview: This four-session lesson plan guides Grade 9 learners through the analysis of argumentative text structures for clarity of meaning and purpose, using 'The Necklace' as a springboard and anchoring discussions in Philippine contexts. Learners will progress from identifying features of argumentative texts to composing and evaluating their own, with explicit modeling, guided practice, and integration of local issues relevant to Filipino youth.</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Learning Areas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English</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Designed by Teacher/s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Joseph Buarao</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Designed for which  Grade level and section</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Grade 9 - RIZAL</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No. Sessions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4</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References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t>Maupassant, Guy de. 'The Necklace' (La Parure), English translation – for text analysis,DepEd English 9 Learner’s Module, Quarter 2 – Informational and Argumentative Texts,Video: 'How to Write an Argumentative Essay' (DepEd Commons/YouTube),Sample argumentative letters from school paper archives,Graphic Organizer: Argument Mapping Template (adapted for Filipino classroom use)</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Declaration of AI use</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16859" w:type="dxa"/>
            <w:gridSpan w:val="2"/>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jc w:val="both"/>
              <w:rPr>
                <w:rFonts w:ascii="Century Gothic" w:hAnsi="Century Gothic" w:cs="Arial"/>
                <w:color w:val="000000"/>
                <w:sz w:val="20"/>
                <w:szCs w:val="20"/>
              </w:rPr>
            </w:pPr>
            <w:r>
              <w:rPr>
                <w:rFonts w:eastAsia="Times New Roman" w:cs="Calibri" w:ascii="Century Gothic" w:hAnsi="Century Gothic"/>
                <w:b/>
                <w:bCs/>
                <w:color w:val="000000"/>
                <w:kern w:val="0"/>
                <w:sz w:val="22"/>
                <w:szCs w:val="22"/>
              </w:rPr>
              <w:t>INTENTIONS</w:t>
            </w:r>
            <w:r>
              <w:rPr>
                <w:rFonts w:eastAsia="Times New Roman" w:cs="Calibri" w:ascii="Century Gothic" w:hAnsi="Century Gothic"/>
                <w:color w:val="000000"/>
                <w:kern w:val="0"/>
                <w:sz w:val="22"/>
                <w:szCs w:val="22"/>
              </w:rPr>
              <w:t xml:space="preserve"> </w:t>
            </w:r>
            <w:r>
              <w:rPr>
                <w:rFonts w:cs="Arial" w:ascii="Century Gothic" w:hAnsi="Century Gothic"/>
                <w:color w:val="000000"/>
                <w:sz w:val="20"/>
                <w:szCs w:val="20"/>
              </w:rPr>
              <w:t xml:space="preserve">Meaningful learning experiences are anchored on how we frame them. Start by deciding what your learners to master by the end of the lesson – keep it clear and simple. </w:t>
            </w:r>
          </w:p>
          <w:p>
            <w:pPr>
              <w:widowControl w:val="false"/>
              <w:spacing w:lineRule="auto" w:line="240" w:after="0"/>
              <w:rPr>
                <w:rFonts w:ascii="Century Gothic" w:hAnsi="Century Gothic" w:cs="Arial"/>
                <w:color w:val="000000"/>
                <w:sz w:val="20"/>
                <w:szCs w:val="20"/>
              </w:rPr>
            </w:pPr>
            <w:r>
              <w:rPr>
                <w:rFonts w:cs="Arial" w:ascii="Century Gothic" w:hAnsi="Century Gothic"/>
                <w:color w:val="000000"/>
                <w:sz w:val="20"/>
                <w:szCs w:val="20"/>
              </w:rPr>
              <w:t>Remember: understanding your learners’ evolving contexts and designing around it help ensure that your lessons connect with and are relevant to them</w:t>
            </w:r>
          </w:p>
        </w:tc>
      </w:tr>
    </w:tbl>
    <w:p>
      <w:pPr>
        <w:rPr>
          <w:rFonts w:ascii="Century Gothic" w:hAnsi="Century Gothic"/>
        </w:rPr>
      </w:pPr>
      <w:r>
        <w:rPr>
          <w:rFonts w:ascii="Century Gothic" w:hAnsi="Century Gothic"/>
        </w:rPr>
      </w:r>
    </w:p>
    <w:tbl>
      <w:tblPr>
        <w:tblW w:w="17277" w:type="dxa"/>
        <w:tblInd w:w="0" w:type="dxa"/>
        <w:tblLayout w:type="fixed"/>
        <w:tblCellMar>
          <w:top w:w="15" w:type="dxa"/>
          <w:left w:w="108" w:type="dxa"/>
          <w:bottom w:w="0" w:type="dxa"/>
          <w:right w:w="108" w:type="dxa"/>
        </w:tblCellMar>
      </w:tblPr>
      <w:tblGrid>
        <w:gridCol w:w="2121"/>
        <w:gridCol w:w="1605"/>
        <w:gridCol w:w="3262"/>
        <w:gridCol w:w="2918"/>
        <w:gridCol w:w="4318"/>
        <w:gridCol w:w="2783"/>
        <w:gridCol w:w="270"/>
      </w:tblGrid>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00"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 xml:space="preserve">Learning Competency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t>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What competency/ies from the curriculum are we targeting?</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rPr>
                <w:rFonts w:ascii="Century Gothic" w:hAnsi="Century Gothic"/>
                <w:b/>
                <w:b/>
              </w:rPr>
            </w:pPr>
            <w:r>
              <w:rPr>
                <w:rFonts w:ascii="Century Gothic" w:hAnsi="Century Gothic"/>
                <w:b/>
              </w:rPr>
              <w:t>Recognize and describe the key features and structures of argumentative texts for clarity of meaning and purpose.</w:t>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pBdr>
                <w:bottom w:val="single" w:sz="6" w:space="1" w:color="000000"/>
              </w:pBdr>
              <w:rPr>
                <w:rFonts w:ascii="Century Gothic" w:hAnsi="Century Gothic"/>
              </w:rPr>
            </w:pPr>
            <w:r>
              <w:rPr>
                <w:rFonts w:ascii="Century Gothic" w:hAnsi="Century Gothic"/>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t>Examine how text structures contribute to clarity of meaning and purpose in argumentative texts.</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rPr>
                <w:rFonts w:ascii="Century Gothic" w:hAnsi="Century Gothic"/>
                <w:b/>
                <w:b/>
              </w:rPr>
            </w:pPr>
            <w:r>
              <w:rPr>
                <w:rFonts w:ascii="Century Gothic" w:hAnsi="Century Gothic"/>
                <w:b/>
              </w:rPr>
              <w:t>Evaluate argumentative texts for clarity of meaning, purpose, and effectiveness for the intended audience.</w:t>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t>Compose and present an original argumentative text demonstrating clarity of meaning, purpose, and audience awareness.</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Learning Objectives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smaller knowledge, skills, or tasks from the competency will learners work on, and what should they be able to show by the end of a session? </w:t>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 xml:space="preserve">What content or performance standards are applicable to the session?                                                                                                                                                                                                              </w:t>
            </w:r>
          </w:p>
        </w:tc>
        <w:tc>
          <w:tcPr>
            <w:tcW w:w="1605"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Domains</w:t>
            </w:r>
          </w:p>
        </w:tc>
        <w:tc>
          <w:tcPr>
            <w:tcW w:w="3262"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1</w:t>
            </w:r>
          </w:p>
        </w:tc>
        <w:tc>
          <w:tcPr>
            <w:tcW w:w="2918"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2</w:t>
            </w:r>
          </w:p>
        </w:tc>
        <w:tc>
          <w:tcPr>
            <w:tcW w:w="4318"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3</w:t>
            </w:r>
          </w:p>
        </w:tc>
        <w:tc>
          <w:tcPr>
            <w:tcW w:w="2783"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shd w:fill="FFF2CC" w:val="clear"/>
          </w:tcPr>
          <w:p>
            <w:pPr>
              <w:rPr/>
            </w:pPr>
            <w:r>
              <w:rPr/>
            </w:r>
          </w:p>
        </w:tc>
        <w:tc>
          <w:tcPr>
            <w:tcW w:w="3262" w:type="dxa"/>
            <w:vMerge w:val="continue"/>
            <w:tcBorders>
              <w:left w:val="single" w:sz="4" w:space="0" w:color="000000"/>
              <w:bottom w:val="single" w:sz="4" w:space="0" w:color="000000"/>
              <w:right w:val="single" w:sz="4" w:space="0" w:color="000000"/>
            </w:tcBorders>
            <w:shd w:fill="FFF2CC" w:val="clear"/>
          </w:tcPr>
          <w:p>
            <w:pPr>
              <w:rPr/>
            </w:pPr>
            <w:r>
              <w:rPr/>
            </w:r>
          </w:p>
        </w:tc>
        <w:tc>
          <w:tcPr>
            <w:tcW w:w="2918" w:type="dxa"/>
            <w:vMerge w:val="continue"/>
            <w:tcBorders>
              <w:left w:val="single" w:sz="4" w:space="0" w:color="000000"/>
              <w:bottom w:val="single" w:sz="4" w:space="0" w:color="000000"/>
              <w:right w:val="single" w:sz="4" w:space="0" w:color="000000"/>
            </w:tcBorders>
            <w:shd w:fill="FFF2CC" w:val="clear"/>
          </w:tcPr>
          <w:p>
            <w:pPr>
              <w:rPr/>
            </w:pPr>
            <w:r>
              <w:rPr/>
            </w:r>
          </w:p>
        </w:tc>
        <w:tc>
          <w:tcPr>
            <w:tcW w:w="4318" w:type="dxa"/>
            <w:vMerge w:val="continue"/>
            <w:tcBorders>
              <w:left w:val="single" w:sz="4" w:space="0" w:color="000000"/>
              <w:bottom w:val="single" w:sz="4" w:space="0" w:color="000000"/>
              <w:right w:val="single" w:sz="4" w:space="0" w:color="000000"/>
            </w:tcBorders>
            <w:shd w:fill="FFF2CC" w:val="clear"/>
          </w:tcPr>
          <w:p>
            <w:pPr>
              <w:rPr/>
            </w:pPr>
            <w:r>
              <w:rPr/>
            </w:r>
          </w:p>
        </w:tc>
        <w:tc>
          <w:tcPr>
            <w:tcW w:w="2783" w:type="dxa"/>
            <w:vMerge w:val="continue"/>
            <w:tcBorders>
              <w:left w:val="single" w:sz="4" w:space="0" w:color="000000"/>
              <w:bottom w:val="single" w:sz="4" w:space="0" w:color="000000"/>
              <w:right w:val="single" w:sz="4" w:space="0" w:color="000000"/>
            </w:tcBorders>
            <w:shd w:fill="FFF2CC" w:val="clear"/>
          </w:tcPr>
          <w:p>
            <w:pPr>
              <w:rPr/>
            </w:pPr>
            <w:r>
              <w:rPr/>
            </w:r>
          </w:p>
        </w:tc>
        <w:tc>
          <w:tcPr>
            <w:tcW w:w="270" w:type="dxa"/>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Cognitive</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Identify and describe the main features and structures of argumentative texts.</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Analyze how the organization and features of an argumentative text affect its clarity and persuasiveness.</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Assess the effectiveness of an argumentative text in terms of clarity, purpose, and audience impact.</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Construct an original argumentative text with clear thesis, logical structure, and appropriate evidence.</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Psychomotor</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Highlight or annotate argumentative features in a sample text.</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Organize arguments and evidence using a graphic organizer.</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Compose a short written evaluation of a given argumentative text.</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Present the composed argumentative text orally or in written form to peers.</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Affective</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Express openness to multiple perspectives in arguments relevant to Filipino youth.</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Demonstrate willingness to question unclear arguments and seek clarification.</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Value the importance of tailoring arguments to one’s audience, especially in the Philippine context.</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Demonstrate confidence and responsibility in expressing one’s viewpoint on a relevant community issue.</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Learning Resources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learning resources will be helpful in reaching our objectives? </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What materials are available and inclusive? </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What modalities are accessible to everyone?</w:t>
            </w:r>
          </w:p>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In case of emergency, what alternative resources may be used?</w:t>
            </w:r>
          </w:p>
        </w:tc>
        <w:tc>
          <w:tcPr>
            <w:tcW w:w="3262" w:type="dxa"/>
            <w:tcBorders>
              <w:top w:val="single" w:sz="4" w:space="0" w:color="000000"/>
              <w:left w:val="single" w:sz="4" w:space="0" w:color="000000"/>
              <w:bottom w:val="single" w:sz="4" w:space="0" w:color="000000"/>
              <w:right w:val="single" w:sz="4" w:space="0" w:color="000000"/>
            </w:tcBorders>
          </w:tcPr>
          <w:p>
            <w:pPr>
              <w:widowControl w:val="false"/>
              <w:numPr>
                <w:ilvl w:val="0"/>
                <w:numId w:val="2"/>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'The Necklace' by Guy de Maupassant – excerpt focusing on a character's dilemma,DepEd English 9 Learner’s Module – Section on Argumentative Texts,Graphic Organizer: Argument Features Checklist,Audio version of 'The Necklace' excerpt (for auditory learners)</w:t>
            </w:r>
          </w:p>
        </w:tc>
        <w:tc>
          <w:tcPr>
            <w:tcW w:w="2918" w:type="dxa"/>
            <w:tcBorders>
              <w:top w:val="single" w:sz="4" w:space="0" w:color="000000"/>
              <w:left w:val="single" w:sz="4" w:space="0" w:color="000000"/>
              <w:bottom w:val="single" w:sz="4" w:space="0" w:color="000000"/>
              <w:right w:val="single" w:sz="4" w:space="0" w:color="000000"/>
            </w:tcBorders>
          </w:tcPr>
          <w:p>
            <w:pPr>
              <w:widowControl w:val="false"/>
              <w:numPr>
                <w:ilvl w:val="0"/>
                <w:numId w:val="6"/>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Sample school editorial: 'Should Cell Phones Be Allowed in School?' (from school paper),Graphic Organizer: Argument Mapping Template,Video: 'How to Analyze an Argument' (DepEd Commons/YouTube),Adapted text with highlighted confusing and clear sections</w:t>
            </w:r>
          </w:p>
        </w:tc>
        <w:tc>
          <w:tcPr>
            <w:tcW w:w="4318" w:type="dxa"/>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Sample argumentative letter: 'Request for More Trees in the Barangay' (school paper archive),Evaluation Rubric: Clarity, Purpose, Audience,Video: 'Writing for Your Audience' (DepEd TV/YouTube),Audio recording of a barangay youth council debate</w:t>
            </w:r>
          </w:p>
        </w:tc>
        <w:tc>
          <w:tcPr>
            <w:tcW w:w="2783" w:type="dxa"/>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Argumentative Writing Template (print and digital),Peer Feedback Checklist: Clarity, Purpose, Audience,Sample prompts: 'Should there be a barangay curfew for minors?' 'Should plastic be banned in school canteens?',Audio recorder or smartphone (for oral presentations)</w:t>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Self- Check</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Here are some reminders as I plan my lesson. Was I able to do the following?</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13281" w:type="dxa"/>
            <w:gridSpan w:val="4"/>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19">
                      <wp:simplePos x="0" y="0"/>
                      <wp:positionH relativeFrom="column">
                        <wp:posOffset>69850</wp:posOffset>
                      </wp:positionH>
                      <wp:positionV relativeFrom="paragraph">
                        <wp:posOffset>170180</wp:posOffset>
                      </wp:positionV>
                      <wp:extent cx="234950" cy="222250"/>
                      <wp:effectExtent l="5080" t="5080" r="5080" b="5080"/>
                      <wp:wrapNone/>
                      <wp:docPr id="9"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1" name="Picture 292062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2062053" descr=""/>
                                                <pic:cNvPicPr>
                                                  <a:picLocks noChangeAspect="1" noChangeArrowheads="1"/>
                                                </pic:cNvPicPr>
                                              </pic:nvPicPr>
                                              <pic:blipFill>
                                                <a:blip r:embed="rId4"/>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5.5pt;margin-top:13.4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12" name="Picture 292062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2062053" descr=""/>
                                          <pic:cNvPicPr>
                                            <a:picLocks noChangeAspect="1" noChangeArrowheads="1"/>
                                          </pic:cNvPicPr>
                                        </pic:nvPicPr>
                                        <pic:blipFill>
                                          <a:blip r:embed="rId5"/>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13">
                      <wp:simplePos x="0" y="0"/>
                      <wp:positionH relativeFrom="column">
                        <wp:posOffset>3251200</wp:posOffset>
                      </wp:positionH>
                      <wp:positionV relativeFrom="paragraph">
                        <wp:posOffset>57150</wp:posOffset>
                      </wp:positionV>
                      <wp:extent cx="234950" cy="222250"/>
                      <wp:effectExtent l="5080" t="5080" r="5080" b="5080"/>
                      <wp:wrapNone/>
                      <wp:docPr id="13"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
                                                <pic:cNvPicPr>
                                                  <a:picLocks noChangeAspect="1" noChangeArrowheads="1"/>
                                                </pic:cNvPicPr>
                                              </pic:nvPicPr>
                                              <pic:blipFill>
                                                <a:blip r:embed="rId6"/>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56pt;margin-top:4.5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1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
                                          <pic:cNvPicPr>
                                            <a:picLocks noChangeAspect="1" noChangeArrowheads="1"/>
                                          </pic:cNvPicPr>
                                        </pic:nvPicPr>
                                        <pic:blipFill>
                                          <a:blip r:embed="rId7"/>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3">
                      <wp:simplePos x="0" y="0"/>
                      <wp:positionH relativeFrom="column">
                        <wp:posOffset>49530</wp:posOffset>
                      </wp:positionH>
                      <wp:positionV relativeFrom="paragraph">
                        <wp:posOffset>136525</wp:posOffset>
                      </wp:positionV>
                      <wp:extent cx="234950" cy="222250"/>
                      <wp:effectExtent l="5080" t="5080" r="5080" b="5080"/>
                      <wp:wrapNone/>
                      <wp:docPr id="17"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pic:cNvPicPr>
                                                  <a:picLocks noChangeAspect="1" noChangeArrowheads="1"/>
                                                </pic:cNvPicPr>
                                              </pic:nvPicPr>
                                              <pic:blipFill>
                                                <a:blip r:embed="rId8"/>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3.9pt;margin-top:10.75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2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
                                          <pic:cNvPicPr>
                                            <a:picLocks noChangeAspect="1" noChangeArrowheads="1"/>
                                          </pic:cNvPicPr>
                                        </pic:nvPicPr>
                                        <pic:blipFill>
                                          <a:blip r:embed="rId9"/>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7">
                      <wp:simplePos x="0" y="0"/>
                      <wp:positionH relativeFrom="column">
                        <wp:posOffset>3251200</wp:posOffset>
                      </wp:positionH>
                      <wp:positionV relativeFrom="paragraph">
                        <wp:posOffset>15240</wp:posOffset>
                      </wp:positionV>
                      <wp:extent cx="234950" cy="222250"/>
                      <wp:effectExtent l="5080" t="5080" r="5080" b="5080"/>
                      <wp:wrapNone/>
                      <wp:docPr id="21"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2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descr=""/>
                                                <pic:cNvPicPr>
                                                  <a:picLocks noChangeAspect="1" noChangeArrowheads="1"/>
                                                </pic:cNvPicPr>
                                              </pic:nvPicPr>
                                              <pic:blipFill>
                                                <a:blip r:embed="rId10"/>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56pt;margin-top:1.2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2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 descr=""/>
                                          <pic:cNvPicPr>
                                            <a:picLocks noChangeAspect="1" noChangeArrowheads="1"/>
                                          </pic:cNvPicPr>
                                        </pic:nvPicPr>
                                        <pic:blipFill>
                                          <a:blip r:embed="rId11"/>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mc:AlternateContent>
                <mc:Choice Requires="wps">
                  <w:drawing>
                    <wp:anchor behindDoc="1" distT="0" distB="25400" distL="0" distR="12700" simplePos="0" locked="0" layoutInCell="0" allowOverlap="1" relativeHeight="22">
                      <wp:simplePos x="0" y="0"/>
                      <wp:positionH relativeFrom="column">
                        <wp:posOffset>63500</wp:posOffset>
                      </wp:positionH>
                      <wp:positionV relativeFrom="paragraph">
                        <wp:posOffset>107315</wp:posOffset>
                      </wp:positionV>
                      <wp:extent cx="234950" cy="222250"/>
                      <wp:effectExtent l="5080" t="5080" r="5080" b="5080"/>
                      <wp:wrapNone/>
                      <wp:docPr id="25"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5pt;margin-top:8.45pt;width:18.45pt;height:17.45pt;mso-wrap-style:none;v-text-anchor:middle">
                      <v:fill o:detectmouseclick="t" type="solid" color2="black"/>
                      <v:stroke color="#4472c4" weight="9360" joinstyle="miter" endcap="flat"/>
                      <v:textbox>
                        <w:txbxContent>
                          <w:p>
                            <w:pPr>
                              <w:pStyle w:val="FrameContents"/>
                              <w:widowControl w:val="false"/>
                              <w:rPr/>
                            </w:pPr>
                            <w:r>
                              <w:rPr/>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ind w:left="360" w:right="0" w:hanging="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LEARNING EXPERIENCE A learning experience is like a thoughtfully designed journey. Each activity and interaction build towards meaningful understanding and growth. Identify activities and interactions to help learner gain knowledge, skills, or understanding in a purposeful way.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w:t>
            </w:r>
          </w:p>
        </w:tc>
        <w:tc>
          <w:tcPr>
            <w:tcW w:w="3262"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1</w:t>
            </w:r>
          </w:p>
        </w:tc>
        <w:tc>
          <w:tcPr>
            <w:tcW w:w="2918"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2</w:t>
            </w:r>
          </w:p>
        </w:tc>
        <w:tc>
          <w:tcPr>
            <w:tcW w:w="4318"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3</w:t>
            </w:r>
          </w:p>
        </w:tc>
        <w:tc>
          <w:tcPr>
            <w:tcW w:w="2783"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Pre- Lesson</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What will I do to help the learners get ready for the lesson?</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3"/>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Quick Think-Pair-Share (10 min): Learners recall a recent barangay or school debate (e.g., cell phone use in class) and share what made one side convincing. Teacher lists persuasive elements on the board.</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7"/>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Sorting Activity (10 min): Learners receive argument cards (some clear, some vague) about a school rule. In groups, they sort cards into 'clear' and 'unclear' piles, justifying their choices.</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Audience Role-Play (10 min): Teacher assigns roles (e.g., barangay captain, parent, student) and reads a short argument. Learners react as their assigned role, noticing what makes the argument effective or not for them.</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Community Issue Brainstorm (10 min): Learners brainstorm local issues they care about (e.g., waste management, school uniforms, jeepney fare hikes) and select one to write about.</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 xml:space="preserve">Learning Experience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activities can I implement to meet the learning objectives?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 xml:space="preserve">What can I do to:                                                        • make the objectives clear for the learners?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t>
            </w:r>
            <w:r>
              <w:rPr>
                <w:rFonts w:eastAsia="Times New Roman" w:cs="Calibri" w:ascii="Century Gothic" w:hAnsi="Century Gothic"/>
                <w:i/>
                <w:iCs/>
                <w:color w:val="000000"/>
                <w:kern w:val="0"/>
                <w:sz w:val="22"/>
                <w:szCs w:val="22"/>
              </w:rPr>
              <w:t xml:space="preserve">guide learners before letting them try the task on their own?                                                              • check the state of the learners' well-being, understanding, and mastery over the lesson?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t>
            </w:r>
            <w:r>
              <w:rPr>
                <w:rFonts w:eastAsia="Times New Roman" w:cs="Calibri" w:ascii="Century Gothic" w:hAnsi="Century Gothic"/>
                <w:i/>
                <w:iCs/>
                <w:color w:val="000000"/>
                <w:kern w:val="0"/>
                <w:sz w:val="22"/>
                <w:szCs w:val="22"/>
              </w:rPr>
              <w:t xml:space="preserve">connect today's new concepts to past competencies?                                                            • encourage collaboration among learners?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 xml:space="preserve">invite learners to reflect on why these matters to them?                                                                            • ensure inclusion for learners' varied abilities, learning styles, and contexts?                   </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I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Teacher displays a short argumentative paragraph about a local issue (e.g., banning single-use plastics in the barangay). Teacher reads aloud, underlining thesis, claims, evidence, and conclusion. Teacher explains each part, relating to the earlier Think-Pair-Share responses</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WE DO (15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Class reads an excerpt from 'The Necklace' where Madame Loisel argues with her husband. In pairs, students use the Argument Features Checklist to identify thesis, supporting details, and conclusion. Teacher circulates, prompting with guiding questions (e.g., 'What is Madame Loisel's main claim?'). Supports: Provide sentence frames for struggling readers; allow oral responses for those with writing difficulties</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YOU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Individually, learners annotate a short sample argumentative text from the module, highlighting thesis, claims, and evidence</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CHECK FOR MASTERY (5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Exit slip—students write one sentence each identifying the thesis and one supporting claim from the sample text</w:t>
            </w:r>
          </w:p>
          <w:p>
            <w:pPr>
              <w:widowControl w:val="false"/>
              <w:spacing w:lineRule="auto" w:line="240" w:before="40" w:after="0"/>
              <w:rPr/>
            </w:pPr>
            <w:r>
              <w:rPr/>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I DO (10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Teacher models analysis of a school editorial, pointing out how a clear thesis, logical order, and strong evidence make the argument persuasive. Teacher also highlights a confusing section and explains why it is unclear</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WE DO (15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In small groups, students use the Argument Mapping Template to organize the arguments and evidence from a provided sample text. Teacher prompts: 'Is the thesis easy to find? Are the reasons clear?',Supports: Provide a partially filled template for those who need more scaffolding; allow oral mapping for learners with writing difficulties</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YOU DO (10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Individually, learners analyze a short argumentative text with both clear and unclear sections, marking which parts are effective and which need improvement</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CHECK FOR MASTERY (5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Learners answer a quick reflection: 'What makes an argument clear? Give one example from today’s text.'</w:t>
            </w:r>
          </w:p>
          <w:p>
            <w:pPr>
              <w:widowControl w:val="false"/>
              <w:spacing w:lineRule="auto" w:line="240" w:before="40" w:after="0"/>
              <w:rPr/>
            </w:pPr>
            <w:r>
              <w:rPr/>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I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Teacher models evaluating a sample argumentative letter using the rubric, thinking aloud: 'Is the thesis clear? Is the purpose obvious? Would this persuade a barangay official?'</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WE DO (15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In groups, students read another sample text and use the rubric to evaluate it, discussing strengths and areas for improvement. Teacher circulates, prompting: 'How could this argument be clearer for its audience?',Supports: Provide sentence starters for evaluations; allow audio-recorded responses for those with writing difficulties</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YOU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Individually, learners write a brief evaluation (5–7 sentences) of a new argumentative text, focusing on clarity, purpose, and audience</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CHECK FOR MASTERY (5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Learners share one suggestion for improving audience impact from their written evaluation</w:t>
            </w:r>
          </w:p>
          <w:p>
            <w:pPr>
              <w:widowControl w:val="false"/>
              <w:spacing w:lineRule="auto" w:line="240" w:before="40" w:after="0"/>
              <w:rPr/>
            </w:pPr>
            <w:r>
              <w:rPr/>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I DO (10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Teacher models planning an argumentative text using the template, thinking aloud about choosing a thesis, organizing reasons, and considering the audience (e.g., barangay council)</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WE DO (15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In pairs, students plan an argumentative text on a chosen issue, filling out the template together and giving each other feedback using the Peer Feedback Checklist. Teacher supports with prompts and scaffolds for those who need help</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YOU DO (15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Individually, learners write or record their own argumentative text, ensuring clarity, purpose, and audience awareness. Supports: Allow oral presentations for those with writing difficulties; provide extended time as needed</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CHECK FOR MASTERY (5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Learners present their argument to a small group or submit their written/audio text. Peers give one positive comment and one suggestion for improvement</w:t>
            </w:r>
          </w:p>
          <w:p>
            <w:pPr>
              <w:widowControl w:val="false"/>
              <w:spacing w:lineRule="auto" w:line="240" w:before="40" w:after="0"/>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Opportunities for Integration</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Are there spaces to meaningfully integrate:                 </w: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another learning area?                                          • a special topic?                                                        • technology?</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4"/>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Araling Panlipunan (debate on community ordinances), and values education (respect for differing opinions). Technology: Use of audio versions and digital annotation tools for inclusion.</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Science (environmental arguments, e.g., plastic ban), and 21st-century skills (critical thinking, communication). Technology: Use of video analysis and digital graphic organizers.</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Edukasyon sa Pagpapakatao (ESP) – considering others’ perspectives, and Social Studies (writing to officials). Technology: Use of audio and video resources for diverse learning styles.</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Filipino (debate and essay writing), and ICT (using digital tools for writing and recording). Technology: Use of digital templates and audio recording for multimodal presentation.</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ASSESSMENT:</w:t>
            </w:r>
            <w:r>
              <w:rPr>
                <w:rFonts w:eastAsia="Times New Roman" w:cs="Calibri" w:ascii="Century Gothic" w:hAnsi="Century Gothic"/>
                <w:color w:val="000000"/>
                <w:kern w:val="0"/>
                <w:sz w:val="22"/>
                <w:szCs w:val="22"/>
              </w:rPr>
              <w:t xml:space="preserve"> Assessment reveal what learners have gained and what they still need help with. These are helpful in providing you with information to guide your future instruction.</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 xml:space="preserve">Formative Assessment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What task, activity, or questions can I use to evaluate learning? What can we do together so that learners can tell me what kind of support they need from me?</w:t>
            </w:r>
          </w:p>
        </w:tc>
        <w:tc>
          <w:tcPr>
            <w:tcW w:w="3262" w:type="dxa"/>
            <w:vMerge w:val="restart"/>
            <w:tcBorders>
              <w:top w:val="single" w:sz="4" w:space="0" w:color="000000"/>
              <w:left w:val="single" w:sz="4" w:space="0" w:color="000000"/>
              <w:bottom w:val="single" w:sz="4" w:space="0" w:color="000000"/>
              <w:right w:val="single" w:sz="4" w:space="0" w:color="000000"/>
            </w:tcBorders>
          </w:tcPr>
          <w:p>
            <w:pPr>
              <w:pStyle w:val="ListParagraph"/>
              <w:widowControl w:val="false"/>
              <w:spacing w:lineRule="auto" w:line="240" w:before="40" w:after="120"/>
              <w:ind w:left="360" w:right="0" w:hanging="180"/>
              <w:contextualSpacing/>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annotated sample text, with thesis, claims, and evidence clearly marked. Teacher checks for accuracy and completeness. Learners may raise a colored card if they need further clarification.</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argument maps and markups of the sample text, identifying clear and unclear sections. Teacher checks for correct identification and logical organization. Learners can write a question mark on their paper if they need help.</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written evaluations, which are checked for specific references to clarity, purpose, and audience. Learners may request a peer or teacher conference if unsure.</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original argumentative text (written or audio), which is assessed using the Peer Feedback Checklist and teacher rubric. Learners may request extra time or peer support if needed.</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WAYS FORWARD</w:t>
            </w:r>
            <w:r>
              <w:rPr>
                <w:rFonts w:eastAsia="Times New Roman" w:cs="Calibri" w:ascii="Century Gothic" w:hAnsi="Century Gothic"/>
                <w:color w:val="000000"/>
                <w:kern w:val="0"/>
                <w:sz w:val="22"/>
                <w:szCs w:val="22"/>
              </w:rPr>
              <w:t>: Meaningful learning can also happen beyond the classroom – for both learner and the teacher. Pause and reflect on what happened today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 xml:space="preserve">Extended Learning Opportunities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What experiences outside the classroom can I suggest to learners to reinforce what they have learned? What experiences might make learners more curious or engaged in this lesson?</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5"/>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At home, learners interview a family member about a recent community issue (e.g., curfew, waste segregation) and list the main argument and supporting reasons they expressed.</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observe a family discussion or radio program at home, noting one argument that was clear and one that was confusing, and bring their observations to class for sharing.</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find a real-world argumentative text (e.g., a barangay notice, online post) and evaluate it at home, bringing their annotated copy and notes for class discussion.</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revise their argumentative text based on peer and teacher feedback, and may submit it to the school paper or present it at a barangay youth meeting.</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Reflecting on my teaching practice</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Notes for Myself and Peers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Is there anything I need to change for tomorrow based on what happened? Is there something the learners are interested in exploring?                                                                         Are there some things I would like to share with my co-teachers, parents, or school leaders about my classroom experience?</w:t>
            </w:r>
          </w:p>
        </w:tc>
        <w:tc>
          <w:tcPr>
            <w:tcW w:w="3262" w:type="dxa"/>
            <w:tcBorders>
              <w:top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1</w:t>
            </w:r>
          </w:p>
        </w:tc>
        <w:tc>
          <w:tcPr>
            <w:tcW w:w="2918"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2</w:t>
            </w:r>
          </w:p>
        </w:tc>
        <w:tc>
          <w:tcPr>
            <w:tcW w:w="4318"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3</w:t>
            </w:r>
          </w:p>
        </w:tc>
        <w:tc>
          <w:tcPr>
            <w:tcW w:w="2783"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tcBorders>
              <w:top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918" w:type="dxa"/>
            <w:tcBorders>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4318" w:type="dxa"/>
            <w:tcBorders>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83" w:type="dxa"/>
            <w:tcBorders>
              <w:top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Declaration of AI use</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Cite how AI was used in the formulation of the lesson plan.</w:t>
            </w:r>
          </w:p>
        </w:tc>
        <w:tc>
          <w:tcPr>
            <w:tcW w:w="13281" w:type="dxa"/>
            <w:gridSpan w:val="4"/>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bl>
    <w:p>
      <w:pPr>
        <w:rPr>
          <w:rFonts w:ascii="Century Gothic" w:hAnsi="Century Gothic"/>
        </w:rPr>
      </w:pPr>
      <w:r>
        <w:rPr>
          <w:rFonts w:ascii="Century Gothic" w:hAnsi="Century Gothic"/>
        </w:rPr>
      </w:r>
    </w:p>
    <w:p>
      <w:pPr>
        <w:rPr>
          <w:rFonts w:ascii="Century Gothic" w:hAnsi="Century Gothic"/>
        </w:rPr>
      </w:pPr>
      <w:r>
        <w:rPr>
          <w:rFonts w:ascii="Century Gothic" w:hAnsi="Century Gothic"/>
        </w:rPr>
        <w:t>Prepared by:</w:t>
      </w:r>
    </w:p>
    <w:p>
      <w:pPr>
        <w:spacing w:lineRule="auto" w:line="240" w:after="0"/>
        <w:rPr>
          <w:rFonts w:ascii="Century Gothic" w:hAnsi="Century Gothic"/>
          <w:b/>
          <w:b/>
          <w:bCs/>
        </w:rPr>
      </w:pPr>
      <w:r>
        <w:rPr>
          <w:rFonts w:ascii="Century Gothic" w:hAnsi="Century Gothic"/>
        </w:rPr>
        <w:tab/>
      </w:r>
      <w:r>
        <w:rPr>
          <w:rFonts w:ascii="Century Gothic" w:hAnsi="Century Gothic"/>
          <w:b/>
          <w:bCs/>
        </w:rPr>
        <w:t>-------------------------------------------</w:t>
      </w:r>
    </w:p>
    <w:p>
      <w:pPr>
        <w:spacing w:lineRule="auto" w:line="240" w:after="0"/>
        <w:rPr>
          <w:rFonts w:ascii="Century Gothic" w:hAnsi="Century Gothic"/>
        </w:rPr>
      </w:pPr>
      <w:r>
        <w:rPr>
          <w:rFonts w:ascii="Century Gothic" w:hAnsi="Century Gothic"/>
        </w:rPr>
        <w:tab/>
        <w:tab/>
        <w:t>Subject Teacher</w:t>
        <w:tab/>
        <w:tab/>
        <w:tab/>
        <w:tab/>
        <w:tab/>
        <w:tab/>
        <w:tab/>
        <w:t>Checked by:</w:t>
      </w:r>
    </w:p>
    <w:p>
      <w:pPr>
        <w:spacing w:lineRule="auto" w:line="240" w:after="0"/>
        <w:rPr>
          <w:rFonts w:ascii="Century Gothic" w:hAnsi="Century Gothic"/>
        </w:rPr>
      </w:pPr>
      <w:r>
        <w:rPr>
          <w:rFonts w:ascii="Century Gothic" w:hAnsi="Century Gothic"/>
        </w:rPr>
        <w:tab/>
        <w:tab/>
        <w:tab/>
        <w:tab/>
        <w:tab/>
        <w:tab/>
        <w:tab/>
        <w:tab/>
        <w:tab/>
        <w:tab/>
        <w:tab/>
        <w:tab/>
        <w:tab/>
        <w:t xml:space="preserve">    --------------------------------</w:t>
      </w:r>
    </w:p>
    <w:p>
      <w:pPr>
        <w:spacing w:lineRule="auto" w:line="240" w:after="0"/>
        <w:rPr>
          <w:rFonts w:ascii="Century Gothic" w:hAnsi="Century Gothic"/>
        </w:rPr>
      </w:pPr>
      <w:r>
        <w:rPr>
          <w:rFonts w:ascii="Century Gothic" w:hAnsi="Century Gothic"/>
        </w:rPr>
      </w:r>
    </w:p>
    <w:p>
      <w:pPr>
        <w:spacing w:lineRule="auto" w:line="240" w:after="0"/>
        <w:ind w:left="9360" w:right="0" w:firstLine="720"/>
        <w:rPr>
          <w:rFonts w:ascii="Century Gothic" w:hAnsi="Century Gothic"/>
        </w:rPr>
      </w:pPr>
      <w:r>
        <w:rPr>
          <w:rFonts w:ascii="Century Gothic" w:hAnsi="Century Gothic"/>
        </w:rPr>
        <w:t xml:space="preserve"> </w:t>
      </w:r>
      <w:r>
        <w:rPr>
          <w:rFonts w:ascii="Century Gothic" w:hAnsi="Century Gothic"/>
        </w:rPr>
        <w:t>School Head</w:t>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pPr>
      <w:r>
        <w:rPr/>
      </w:r>
    </w:p>
    <w:sectPr>
      <w:type w:val="nextPage"/>
      <w:pgSz w:orient="landscape" w:w="18720" w:h="12240"/>
      <w:pgMar w:left="720" w:right="720" w:gutter="0" w:header="0" w:top="720"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roman"/>
    <w:pitch w:val="variable"/>
  </w:font>
  <w:font w:name="Century Gothic">
    <w:charset w:val="00"/>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kern w:val="2"/>
        <w:sz w:val="24"/>
        <w:szCs w:val="24"/>
        <w:lang w:val="en-US" w:eastAsia="en-US" w:bidi="ar-SA"/>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lineRule="auto" w:line="240" w:after="0"/>
      <w:jc w:val="left"/>
    </w:pPr>
    <w:rPr>
      <w:rFonts w:ascii="Calibri" w:hAnsi="Calibri" w:eastAsia="Calibri" w:cs="DejaVu Sans"/>
      <w:color w:val="auto"/>
      <w:kern w:val="2"/>
      <w:sz w:val="24"/>
      <w:szCs w:val="24"/>
      <w:lang w:val="en-US" w:eastAsia="en-US" w:bidi="ar-SA"/>
    </w:rPr>
  </w:style>
  <w:style w:type="paragraph" w:styleId="Heading1">
    <w:name w:val="Heading 1"/>
    <w:basedOn w:val="Normal"/>
    <w:next w:val="Normal"/>
    <w:link w:val="Heading1Char"/>
    <w:qFormat/>
    <w:pPr>
      <w:keepNext w:val="true"/>
      <w:keepLines/>
      <w:numPr>
        <w:ilvl w:val="0"/>
        <w:numId w:val="0"/>
      </w:numPr>
      <w:spacing w:before="360" w:after="80"/>
      <w:outlineLvl w:val="0"/>
    </w:pPr>
    <w:rPr>
      <w:rFonts w:ascii="Calibri Light" w:hAnsi="Calibri Light" w:eastAsia="Calibri" w:cs="DejaVu Sans"/>
      <w:color w:val="2F5496"/>
      <w:sz w:val="40"/>
      <w:szCs w:val="40"/>
    </w:rPr>
  </w:style>
  <w:style w:type="paragraph" w:styleId="Heading2">
    <w:name w:val="Heading 2"/>
    <w:basedOn w:val="Normal"/>
    <w:next w:val="Normal"/>
    <w:link w:val="Heading2Char"/>
    <w:qFormat/>
    <w:pPr>
      <w:keepNext w:val="true"/>
      <w:keepLines/>
      <w:numPr>
        <w:ilvl w:val="0"/>
        <w:numId w:val="0"/>
      </w:numPr>
      <w:spacing w:before="160" w:after="80"/>
      <w:outlineLvl w:val="1"/>
    </w:pPr>
    <w:rPr>
      <w:rFonts w:ascii="Calibri Light" w:hAnsi="Calibri Light" w:eastAsia="Calibri" w:cs="DejaVu Sans"/>
      <w:color w:val="2F5496"/>
      <w:sz w:val="32"/>
      <w:szCs w:val="32"/>
    </w:rPr>
  </w:style>
  <w:style w:type="paragraph" w:styleId="Heading3">
    <w:name w:val="Heading 3"/>
    <w:basedOn w:val="Normal"/>
    <w:next w:val="Normal"/>
    <w:link w:val="Heading3Char"/>
    <w:qFormat/>
    <w:pPr>
      <w:keepNext w:val="true"/>
      <w:keepLines/>
      <w:numPr>
        <w:ilvl w:val="0"/>
        <w:numId w:val="0"/>
      </w:numPr>
      <w:spacing w:before="160" w:after="80"/>
      <w:outlineLvl w:val="2"/>
    </w:pPr>
    <w:rPr>
      <w:rFonts w:eastAsia="Calibri" w:cs="DejaVu Sans"/>
      <w:color w:val="2F5496"/>
      <w:sz w:val="28"/>
      <w:szCs w:val="28"/>
    </w:rPr>
  </w:style>
  <w:style w:type="paragraph" w:styleId="Heading4">
    <w:name w:val="Heading 4"/>
    <w:basedOn w:val="Normal"/>
    <w:next w:val="Normal"/>
    <w:link w:val="Heading4Char"/>
    <w:qFormat/>
    <w:pPr>
      <w:keepNext w:val="true"/>
      <w:keepLines/>
      <w:numPr>
        <w:ilvl w:val="0"/>
        <w:numId w:val="0"/>
      </w:numPr>
      <w:spacing w:before="80" w:after="40"/>
      <w:outlineLvl w:val="3"/>
    </w:pPr>
    <w:rPr>
      <w:rFonts w:eastAsia="Calibri" w:cs="DejaVu Sans"/>
      <w:i/>
      <w:iCs/>
      <w:color w:val="2F5496"/>
    </w:rPr>
  </w:style>
  <w:style w:type="paragraph" w:styleId="Heading5">
    <w:name w:val="Heading 5"/>
    <w:basedOn w:val="Normal"/>
    <w:next w:val="Normal"/>
    <w:link w:val="Heading5Char"/>
    <w:qFormat/>
    <w:pPr>
      <w:keepNext w:val="true"/>
      <w:keepLines/>
      <w:numPr>
        <w:ilvl w:val="0"/>
        <w:numId w:val="0"/>
      </w:numPr>
      <w:spacing w:before="80" w:after="40"/>
      <w:outlineLvl w:val="4"/>
    </w:pPr>
    <w:rPr>
      <w:rFonts w:eastAsia="Calibri" w:cs="DejaVu Sans"/>
      <w:color w:val="2F5496"/>
    </w:rPr>
  </w:style>
  <w:style w:type="paragraph" w:styleId="Heading6">
    <w:name w:val="Heading 6"/>
    <w:basedOn w:val="Normal"/>
    <w:next w:val="Normal"/>
    <w:link w:val="Heading6Char"/>
    <w:qFormat/>
    <w:pPr>
      <w:keepNext w:val="true"/>
      <w:keepLines/>
      <w:numPr>
        <w:ilvl w:val="0"/>
        <w:numId w:val="0"/>
      </w:numPr>
      <w:spacing w:before="40" w:after="0"/>
      <w:outlineLvl w:val="5"/>
    </w:pPr>
    <w:rPr>
      <w:rFonts w:eastAsia="Calibri" w:cs="DejaVu Sans"/>
      <w:i/>
      <w:iCs/>
      <w:color w:val="595959"/>
    </w:rPr>
  </w:style>
  <w:style w:type="paragraph" w:styleId="Heading7">
    <w:name w:val="Heading 7"/>
    <w:basedOn w:val="Normal"/>
    <w:next w:val="Normal"/>
    <w:link w:val="Heading7Char"/>
    <w:qFormat/>
    <w:pPr>
      <w:keepNext w:val="true"/>
      <w:keepLines/>
      <w:numPr>
        <w:ilvl w:val="0"/>
        <w:numId w:val="0"/>
      </w:numPr>
      <w:spacing w:before="40" w:after="0"/>
      <w:outlineLvl w:val="6"/>
    </w:pPr>
    <w:rPr>
      <w:rFonts w:eastAsia="Calibri" w:cs="DejaVu Sans"/>
      <w:color w:val="595959"/>
    </w:rPr>
  </w:style>
  <w:style w:type="paragraph" w:styleId="Heading8">
    <w:name w:val="Heading 8"/>
    <w:basedOn w:val="Normal"/>
    <w:next w:val="Normal"/>
    <w:link w:val="Heading8Char"/>
    <w:qFormat/>
    <w:pPr>
      <w:keepNext w:val="true"/>
      <w:keepLines/>
      <w:numPr>
        <w:ilvl w:val="0"/>
        <w:numId w:val="0"/>
      </w:numPr>
      <w:spacing w:after="0"/>
      <w:outlineLvl w:val="7"/>
    </w:pPr>
    <w:rPr>
      <w:rFonts w:eastAsia="Calibri" w:cs="DejaVu Sans"/>
      <w:i/>
      <w:iCs/>
      <w:color w:val="272727"/>
    </w:rPr>
  </w:style>
  <w:style w:type="paragraph" w:styleId="Heading9">
    <w:name w:val="Heading 9"/>
    <w:basedOn w:val="Normal"/>
    <w:next w:val="Normal"/>
    <w:link w:val="Heading9Char"/>
    <w:qFormat/>
    <w:pPr>
      <w:keepNext w:val="true"/>
      <w:keepLines/>
      <w:numPr>
        <w:ilvl w:val="0"/>
        <w:numId w:val="0"/>
      </w:numPr>
      <w:spacing w:after="0"/>
      <w:outlineLvl w:val="8"/>
    </w:pPr>
    <w:rPr>
      <w:rFonts w:eastAsia="Calibri" w:cs="DejaVu Sans"/>
      <w:color w:val="272727"/>
    </w:rPr>
  </w:style>
  <w:style w:type="character" w:styleId="DefaultParagraphFont">
    <w:name w:val="Default Paragraph Font"/>
    <w:qFormat/>
    <w:rPr/>
  </w:style>
  <w:style w:type="character" w:styleId="Heading1Char">
    <w:name w:val="Heading 1 Char"/>
    <w:basedOn w:val="DefaultParagraphFont"/>
    <w:link w:val="Heading1"/>
    <w:qFormat/>
    <w:rPr>
      <w:rFonts w:ascii="Calibri Light" w:hAnsi="Calibri Light" w:eastAsia="Calibri" w:cs="DejaVu Sans"/>
      <w:color w:val="2F5496"/>
      <w:sz w:val="40"/>
      <w:szCs w:val="40"/>
    </w:rPr>
  </w:style>
  <w:style w:type="character" w:styleId="Heading2Char">
    <w:name w:val="Heading 2 Char"/>
    <w:basedOn w:val="DefaultParagraphFont"/>
    <w:link w:val="Heading2"/>
    <w:qFormat/>
    <w:rPr>
      <w:rFonts w:ascii="Calibri Light" w:hAnsi="Calibri Light" w:eastAsia="Calibri" w:cs="DejaVu Sans"/>
      <w:color w:val="2F5496"/>
      <w:sz w:val="32"/>
      <w:szCs w:val="32"/>
    </w:rPr>
  </w:style>
  <w:style w:type="character" w:styleId="Heading3Char">
    <w:name w:val="Heading 3 Char"/>
    <w:basedOn w:val="DefaultParagraphFont"/>
    <w:link w:val="Heading3"/>
    <w:qFormat/>
    <w:rPr>
      <w:rFonts w:eastAsia="Calibri" w:cs="DejaVu Sans"/>
      <w:color w:val="2F5496"/>
      <w:sz w:val="28"/>
      <w:szCs w:val="28"/>
    </w:rPr>
  </w:style>
  <w:style w:type="character" w:styleId="Heading4Char">
    <w:name w:val="Heading 4 Char"/>
    <w:basedOn w:val="DefaultParagraphFont"/>
    <w:link w:val="Heading4"/>
    <w:qFormat/>
    <w:rPr>
      <w:rFonts w:eastAsia="Calibri" w:cs="DejaVu Sans"/>
      <w:i/>
      <w:iCs/>
      <w:color w:val="2F5496"/>
    </w:rPr>
  </w:style>
  <w:style w:type="character" w:styleId="Heading5Char">
    <w:name w:val="Heading 5 Char"/>
    <w:basedOn w:val="DefaultParagraphFont"/>
    <w:link w:val="Heading5"/>
    <w:qFormat/>
    <w:rPr>
      <w:rFonts w:eastAsia="Calibri" w:cs="DejaVu Sans"/>
      <w:color w:val="2F5496"/>
    </w:rPr>
  </w:style>
  <w:style w:type="character" w:styleId="Heading6Char">
    <w:name w:val="Heading 6 Char"/>
    <w:basedOn w:val="DefaultParagraphFont"/>
    <w:link w:val="Heading6"/>
    <w:qFormat/>
    <w:rPr>
      <w:rFonts w:eastAsia="Calibri" w:cs="DejaVu Sans"/>
      <w:i/>
      <w:iCs/>
      <w:color w:val="595959"/>
    </w:rPr>
  </w:style>
  <w:style w:type="character" w:styleId="Heading7Char">
    <w:name w:val="Heading 7 Char"/>
    <w:basedOn w:val="DefaultParagraphFont"/>
    <w:link w:val="Heading7"/>
    <w:qFormat/>
    <w:rPr>
      <w:rFonts w:eastAsia="Calibri" w:cs="DejaVu Sans"/>
      <w:color w:val="595959"/>
    </w:rPr>
  </w:style>
  <w:style w:type="character" w:styleId="Heading8Char">
    <w:name w:val="Heading 8 Char"/>
    <w:basedOn w:val="DefaultParagraphFont"/>
    <w:link w:val="Heading8"/>
    <w:qFormat/>
    <w:rPr>
      <w:rFonts w:eastAsia="Calibri" w:cs="DejaVu Sans"/>
      <w:i/>
      <w:iCs/>
      <w:color w:val="272727"/>
    </w:rPr>
  </w:style>
  <w:style w:type="character" w:styleId="Heading9Char">
    <w:name w:val="Heading 9 Char"/>
    <w:basedOn w:val="DefaultParagraphFont"/>
    <w:link w:val="Heading9"/>
    <w:qFormat/>
    <w:rPr>
      <w:rFonts w:eastAsia="Calibri" w:cs="DejaVu Sans"/>
      <w:color w:val="272727"/>
    </w:rPr>
  </w:style>
  <w:style w:type="character" w:styleId="TitleChar">
    <w:name w:val="Title Char"/>
    <w:basedOn w:val="DefaultParagraphFont"/>
    <w:link w:val="Title"/>
    <w:qFormat/>
    <w:rPr>
      <w:rFonts w:ascii="Calibri Light" w:hAnsi="Calibri Light" w:eastAsia="Calibri" w:cs="DejaVu Sans"/>
      <w:spacing w:val="-10"/>
      <w:kern w:val="2"/>
      <w:sz w:val="56"/>
      <w:szCs w:val="56"/>
    </w:rPr>
  </w:style>
  <w:style w:type="character" w:styleId="SubtitleChar">
    <w:name w:val="Subtitle Char"/>
    <w:basedOn w:val="DefaultParagraphFont"/>
    <w:link w:val="Subtitle"/>
    <w:qFormat/>
    <w:rPr>
      <w:rFonts w:eastAsia="Calibri" w:cs="DejaVu Sans"/>
      <w:color w:val="595959"/>
      <w:spacing w:val="15"/>
      <w:sz w:val="28"/>
      <w:szCs w:val="28"/>
    </w:rPr>
  </w:style>
  <w:style w:type="character" w:styleId="QuoteChar">
    <w:name w:val="Quote Char"/>
    <w:basedOn w:val="DefaultParagraphFont"/>
    <w:link w:val="Quote"/>
    <w:qFormat/>
    <w:rPr>
      <w:i/>
      <w:iCs/>
      <w:color w:val="404040"/>
    </w:rPr>
  </w:style>
  <w:style w:type="character" w:styleId="IntenseEmphasis">
    <w:name w:val="Intense Emphasis"/>
    <w:basedOn w:val="DefaultParagraphFont"/>
    <w:qFormat/>
    <w:rPr>
      <w:i/>
      <w:iCs/>
      <w:color w:val="2F5496"/>
    </w:rPr>
  </w:style>
  <w:style w:type="character" w:styleId="IntenseQuoteChar">
    <w:name w:val="Intense Quote Char"/>
    <w:basedOn w:val="DefaultParagraphFont"/>
    <w:link w:val="IntenseQuote"/>
    <w:qFormat/>
    <w:rPr>
      <w:i/>
      <w:iCs/>
      <w:color w:val="2F5496"/>
    </w:rPr>
  </w:style>
  <w:style w:type="character" w:styleId="IntenseReference">
    <w:name w:val="Intense Reference"/>
    <w:basedOn w:val="DefaultParagraphFont"/>
    <w:qFormat/>
    <w:rPr>
      <w:b/>
      <w:bCs/>
      <w:smallCaps/>
      <w:color w:val="2F5496"/>
      <w:spacing w:val="5"/>
    </w:rPr>
  </w:style>
  <w:style w:type="paragraph" w:styleId="Heading">
    <w:name w:val="Heading"/>
    <w:basedOn w:val="Normal"/>
    <w:next w:val="TextBody"/>
    <w:qFormat/>
    <w:pPr>
      <w:keepNext w:val="true"/>
      <w:spacing w:before="240" w:after="120"/>
    </w:pPr>
    <w:rPr>
      <w:rFonts w:ascii="Liberation Sans" w:hAnsi="Liberation Sans" w:eastAsia="Arial Unicode MS" w:cs="Arial Unicode MS"/>
      <w:sz w:val="28"/>
      <w:szCs w:val="28"/>
    </w:rPr>
  </w:style>
  <w:style w:type="paragraph" w:styleId="TextBody">
    <w:name w:val="Body Text"/>
    <w:basedOn w:val="Normal"/>
    <w:pPr>
      <w:spacing w:lineRule="auto" w:line="240" w:after="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rFonts w:cs="Arial Unicode MS"/>
    </w:rPr>
  </w:style>
  <w:style w:type="paragraph" w:styleId="Caption1">
    <w:name w:val="caption"/>
    <w:basedOn w:val="Normal"/>
    <w:qFormat/>
    <w:pPr>
      <w:suppressLineNumbers/>
      <w:spacing w:before="120" w:after="120"/>
    </w:pPr>
    <w:rPr>
      <w:rFonts w:cs="Arial Unicode MS"/>
      <w:i/>
      <w:iCs/>
      <w:sz w:val="24"/>
      <w:szCs w:val="24"/>
    </w:rPr>
  </w:style>
  <w:style w:type="paragraph" w:styleId="Title">
    <w:name w:val="Title"/>
    <w:basedOn w:val="Normal"/>
    <w:next w:val="Normal"/>
    <w:link w:val="TitleChar"/>
    <w:qFormat/>
    <w:pPr>
      <w:spacing w:lineRule="auto" w:line="240" w:after="80"/>
      <w:contextualSpacing/>
    </w:pPr>
    <w:rPr>
      <w:rFonts w:ascii="Calibri Light" w:hAnsi="Calibri Light" w:eastAsia="Calibri" w:cs="DejaVu Sans"/>
      <w:spacing w:val="-10"/>
      <w:kern w:val="2"/>
      <w:sz w:val="56"/>
      <w:szCs w:val="56"/>
    </w:rPr>
  </w:style>
  <w:style w:type="paragraph" w:styleId="Subtitle">
    <w:name w:val="Subtitle"/>
    <w:basedOn w:val="Normal"/>
    <w:next w:val="Normal"/>
    <w:link w:val="SubtitleChar"/>
    <w:qFormat/>
    <w:pPr/>
    <w:rPr>
      <w:rFonts w:eastAsia="Calibri" w:cs="DejaVu Sans"/>
      <w:color w:val="595959"/>
      <w:spacing w:val="15"/>
      <w:sz w:val="28"/>
      <w:szCs w:val="28"/>
    </w:rPr>
  </w:style>
  <w:style w:type="paragraph" w:styleId="Quote">
    <w:name w:val="Quote"/>
    <w:basedOn w:val="Normal"/>
    <w:next w:val="Normal"/>
    <w:link w:val="QuoteChar"/>
    <w:qFormat/>
    <w:pPr>
      <w:spacing w:before="160" w:after="0"/>
      <w:jc w:val="center"/>
    </w:pPr>
    <w:rPr>
      <w:i/>
      <w:iCs/>
      <w:color w:val="404040"/>
    </w:rPr>
  </w:style>
  <w:style w:type="paragraph" w:styleId="ListParagraph">
    <w:name w:val="List Paragraph"/>
    <w:basedOn w:val="Normal"/>
    <w:qFormat/>
    <w:pPr>
      <w:spacing w:after="0"/>
      <w:ind w:left="720" w:right="0" w:hanging="0"/>
      <w:contextualSpacing/>
    </w:pPr>
    <w:rPr/>
  </w:style>
  <w:style w:type="paragraph" w:styleId="IntenseQuote">
    <w:name w:val="Intense Quote"/>
    <w:basedOn w:val="Normal"/>
    <w:next w:val="Normal"/>
    <w:link w:val="IntenseQuoteChar"/>
    <w:qFormat/>
    <w:pPr>
      <w:pBdr>
        <w:top w:val="single" w:sz="4" w:space="10" w:color="2F5496"/>
        <w:bottom w:val="single" w:sz="4" w:space="10" w:color="2F5496"/>
      </w:pBdr>
      <w:spacing w:before="360" w:after="360"/>
      <w:ind w:left="864" w:right="864" w:hanging="0"/>
      <w:jc w:val="center"/>
    </w:pPr>
    <w:rPr>
      <w:i/>
      <w:iCs/>
      <w:color w:val="2F5496"/>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wmf"/><Relationship Id="rId5" Type="http://schemas.openxmlformats.org/officeDocument/2006/relationships/image" Target="media/image3.wmf"/><Relationship Id="rId6" Type="http://schemas.openxmlformats.org/officeDocument/2006/relationships/image" Target="media/image3.wmf"/><Relationship Id="rId7" Type="http://schemas.openxmlformats.org/officeDocument/2006/relationships/image" Target="media/image3.wmf"/><Relationship Id="rId8" Type="http://schemas.openxmlformats.org/officeDocument/2006/relationships/image" Target="media/image3.wmf"/><Relationship Id="rId9" Type="http://schemas.openxmlformats.org/officeDocument/2006/relationships/image" Target="media/image3.wmf"/><Relationship Id="rId10" Type="http://schemas.openxmlformats.org/officeDocument/2006/relationships/image" Target="media/image3.wmf"/><Relationship Id="rId11" Type="http://schemas.openxmlformats.org/officeDocument/2006/relationships/image" Target="media/image3.wmf"/><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160</TotalTime>
  <Application>LibreOffice/7.4.7.2$Linux_X86_64 LibreOffice_project/40$Build-2</Application>
  <AppVersion>15.0000</AppVersion>
  <Pages>6</Pages>
  <Words>2125</Words>
  <Characters>12543</Characters>
  <CharactersWithSpaces>15698</CharactersWithSpaces>
  <Paragraphs>154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2026-04-17T05:18:00Z</dcterms:created>
  <dc:creator>ELENA LAGUYO</dc:creator>
  <dc:description/>
  <dc:language>en-US</dc:language>
  <cp:lastModifiedBy>Febe Grace Vender</cp:lastModifiedBy>
  <dcterms:modified xsi:type="dcterms:W3CDTF">2026-06-19T11:10:00Z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